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0ED94" w14:textId="0A5E53E3" w:rsidR="006C006A" w:rsidRPr="006C3FF2" w:rsidRDefault="006C006A" w:rsidP="006C006A">
      <w:pPr>
        <w:jc w:val="center"/>
        <w:rPr>
          <w:rFonts w:ascii="TisaOT" w:hAnsi="TisaOT" w:cs="TisaOT"/>
        </w:rPr>
      </w:pPr>
      <w:r w:rsidRPr="006C3FF2">
        <w:rPr>
          <w:rFonts w:ascii="TisaOT" w:hAnsi="TisaOT" w:cs="TisaOT"/>
          <w:noProof/>
        </w:rPr>
        <w:drawing>
          <wp:inline distT="0" distB="0" distL="0" distR="0" wp14:anchorId="3501DAB5" wp14:editId="23302DEB">
            <wp:extent cx="3840480" cy="1418613"/>
            <wp:effectExtent l="0" t="0" r="7620" b="0"/>
            <wp:docPr id="1" name="Picture 1" descr="C:\Users\ktaylor\Downloads\Hoosier Housing Needs Coalition_Full Color_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taylor\Downloads\Hoosier Housing Needs Coalition_Full Color_Logo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142" cy="1424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75B29" w14:textId="77777777" w:rsidR="006C006A" w:rsidRPr="006C3FF2" w:rsidRDefault="006C006A" w:rsidP="006C006A">
      <w:pPr>
        <w:jc w:val="center"/>
        <w:rPr>
          <w:rFonts w:ascii="TisaOT" w:hAnsi="TisaOT" w:cs="TisaOT"/>
          <w:sz w:val="22"/>
          <w:szCs w:val="22"/>
        </w:rPr>
      </w:pPr>
    </w:p>
    <w:p w14:paraId="3C84A543" w14:textId="43D7D85C" w:rsidR="006C006A" w:rsidRPr="006C3FF2" w:rsidRDefault="008D149C" w:rsidP="006C006A">
      <w:pPr>
        <w:jc w:val="center"/>
        <w:rPr>
          <w:rFonts w:ascii="Tisa OT" w:hAnsi="Tisa OT" w:cs="Tisa OT"/>
          <w:b/>
          <w:bCs/>
        </w:rPr>
      </w:pPr>
      <w:r>
        <w:rPr>
          <w:rFonts w:ascii="Tisa OT" w:hAnsi="Tisa OT" w:cs="Tisa OT"/>
          <w:b/>
          <w:bCs/>
        </w:rPr>
        <w:t>R</w:t>
      </w:r>
      <w:r w:rsidR="006C006A" w:rsidRPr="006C3FF2">
        <w:rPr>
          <w:rFonts w:ascii="Tisa OT" w:hAnsi="Tisa OT" w:cs="Tisa OT"/>
          <w:b/>
          <w:bCs/>
        </w:rPr>
        <w:t xml:space="preserve">esults of Entitlement Cities Survey on using </w:t>
      </w:r>
    </w:p>
    <w:p w14:paraId="47C4D15B" w14:textId="3483D341" w:rsidR="006C006A" w:rsidRPr="006C3FF2" w:rsidRDefault="006C006A" w:rsidP="006C006A">
      <w:pPr>
        <w:jc w:val="center"/>
        <w:rPr>
          <w:rFonts w:ascii="Tisa OT" w:hAnsi="Tisa OT" w:cs="Tisa OT"/>
          <w:b/>
          <w:bCs/>
        </w:rPr>
      </w:pPr>
      <w:r w:rsidRPr="006C3FF2">
        <w:rPr>
          <w:rFonts w:ascii="Tisa OT" w:hAnsi="Tisa OT" w:cs="Tisa OT"/>
          <w:b/>
          <w:bCs/>
        </w:rPr>
        <w:t xml:space="preserve">CARES Act funds for </w:t>
      </w:r>
      <w:r w:rsidR="008D149C">
        <w:rPr>
          <w:rFonts w:ascii="Tisa OT" w:hAnsi="Tisa OT" w:cs="Tisa OT"/>
          <w:b/>
          <w:bCs/>
        </w:rPr>
        <w:t xml:space="preserve">emergency </w:t>
      </w:r>
      <w:r w:rsidRPr="006C3FF2">
        <w:rPr>
          <w:rFonts w:ascii="Tisa OT" w:hAnsi="Tisa OT" w:cs="Tisa OT"/>
          <w:b/>
          <w:bCs/>
        </w:rPr>
        <w:t>rental assistance</w:t>
      </w:r>
    </w:p>
    <w:p w14:paraId="5FC4D1D4" w14:textId="4A9407A1" w:rsidR="006C006A" w:rsidRPr="006C3FF2" w:rsidRDefault="006C006A" w:rsidP="006C006A">
      <w:pPr>
        <w:jc w:val="center"/>
        <w:rPr>
          <w:rFonts w:ascii="Tisa OT" w:hAnsi="Tisa OT" w:cs="Tisa OT"/>
          <w:b/>
          <w:bCs/>
        </w:rPr>
      </w:pPr>
      <w:r w:rsidRPr="006C3FF2">
        <w:rPr>
          <w:rFonts w:ascii="Tisa OT" w:hAnsi="Tisa OT" w:cs="Tisa OT"/>
          <w:b/>
          <w:bCs/>
        </w:rPr>
        <w:t xml:space="preserve">June </w:t>
      </w:r>
      <w:r w:rsidR="0078583E" w:rsidRPr="006C3FF2">
        <w:rPr>
          <w:rFonts w:ascii="Tisa OT" w:hAnsi="Tisa OT" w:cs="Tisa OT"/>
          <w:b/>
          <w:bCs/>
        </w:rPr>
        <w:t>1</w:t>
      </w:r>
      <w:r w:rsidR="003A36F0">
        <w:rPr>
          <w:rFonts w:ascii="Tisa OT" w:hAnsi="Tisa OT" w:cs="Tisa OT"/>
          <w:b/>
          <w:bCs/>
        </w:rPr>
        <w:t>6</w:t>
      </w:r>
      <w:r w:rsidRPr="006C3FF2">
        <w:rPr>
          <w:rFonts w:ascii="Tisa OT" w:hAnsi="Tisa OT" w:cs="Tisa OT"/>
          <w:b/>
          <w:bCs/>
        </w:rPr>
        <w:t>, 2020</w:t>
      </w:r>
    </w:p>
    <w:p w14:paraId="020AA43D" w14:textId="77777777" w:rsidR="006C006A" w:rsidRPr="006C3FF2" w:rsidRDefault="006C006A" w:rsidP="006C006A">
      <w:pPr>
        <w:jc w:val="center"/>
        <w:rPr>
          <w:rFonts w:ascii="TisaOT" w:hAnsi="TisaOT" w:cs="TisaOT"/>
        </w:rPr>
      </w:pPr>
    </w:p>
    <w:p w14:paraId="257648E3" w14:textId="77A26FD2" w:rsidR="004E71BD" w:rsidRPr="006C3FF2" w:rsidRDefault="00FD0F43" w:rsidP="004E71BD">
      <w:pPr>
        <w:rPr>
          <w:rFonts w:ascii="TisaOT" w:hAnsi="TisaOT" w:cs="TisaOT"/>
        </w:rPr>
      </w:pPr>
      <w:r w:rsidRPr="006C3FF2">
        <w:rPr>
          <w:rFonts w:ascii="TisaOT" w:hAnsi="TisaOT" w:cs="TisaOT"/>
        </w:rPr>
        <w:t xml:space="preserve">Housing security continues to be a priority need for Hoosiers during the pandemic, with the </w:t>
      </w:r>
      <w:hyperlink r:id="rId5" w:history="1">
        <w:r w:rsidRPr="006C3FF2">
          <w:rPr>
            <w:rStyle w:val="Hyperlink"/>
            <w:rFonts w:ascii="TisaOT" w:hAnsi="TisaOT" w:cs="TisaOT"/>
          </w:rPr>
          <w:t>data showing</w:t>
        </w:r>
      </w:hyperlink>
      <w:r w:rsidRPr="006C3FF2">
        <w:rPr>
          <w:rFonts w:ascii="TisaOT" w:hAnsi="TisaOT" w:cs="TisaOT"/>
        </w:rPr>
        <w:t xml:space="preserve"> that COVID-19 income loss is the main cause. </w:t>
      </w:r>
      <w:r w:rsidR="004E71BD" w:rsidRPr="006C3FF2">
        <w:rPr>
          <w:rFonts w:ascii="TisaOT" w:hAnsi="TisaOT" w:cs="TisaOT"/>
        </w:rPr>
        <w:t xml:space="preserve">Indiana needs statewide rent assistance, and CARES funds </w:t>
      </w:r>
      <w:r w:rsidR="00C754E0">
        <w:rPr>
          <w:rFonts w:ascii="TisaOT" w:hAnsi="TisaOT" w:cs="TisaOT"/>
        </w:rPr>
        <w:t xml:space="preserve">allocated </w:t>
      </w:r>
      <w:r w:rsidR="004E71BD" w:rsidRPr="006C3FF2">
        <w:rPr>
          <w:rFonts w:ascii="TisaOT" w:hAnsi="TisaOT" w:cs="TisaOT"/>
        </w:rPr>
        <w:t xml:space="preserve">to </w:t>
      </w:r>
      <w:r w:rsidR="00C754E0">
        <w:rPr>
          <w:rFonts w:ascii="TisaOT" w:hAnsi="TisaOT" w:cs="TisaOT"/>
        </w:rPr>
        <w:t xml:space="preserve">entitlement </w:t>
      </w:r>
      <w:r w:rsidR="004E71BD" w:rsidRPr="006C3FF2">
        <w:rPr>
          <w:rFonts w:ascii="TisaOT" w:hAnsi="TisaOT" w:cs="TisaOT"/>
        </w:rPr>
        <w:t xml:space="preserve">cities can be part of that if coordinated. </w:t>
      </w:r>
      <w:r w:rsidR="00C754E0">
        <w:rPr>
          <w:rFonts w:ascii="TisaOT" w:hAnsi="TisaOT" w:cs="TisaOT"/>
        </w:rPr>
        <w:t>Through a survey of cities conducted from late May through mid-June, here’s what we know to date about use of CARES Act resources by Indiana’s cities for emergency rental assistance.</w:t>
      </w:r>
    </w:p>
    <w:p w14:paraId="596DC8C3" w14:textId="5C7D1210" w:rsidR="00663F30" w:rsidRPr="006C3FF2" w:rsidRDefault="00663F30">
      <w:pPr>
        <w:rPr>
          <w:rFonts w:ascii="TisaOT" w:hAnsi="TisaOT" w:cs="TisaOT"/>
        </w:rPr>
      </w:pPr>
    </w:p>
    <w:p w14:paraId="0A13890F" w14:textId="36E35D09" w:rsidR="00BF06C7" w:rsidRPr="006C3FF2" w:rsidRDefault="00FD0F43" w:rsidP="00582783">
      <w:pPr>
        <w:rPr>
          <w:rFonts w:ascii="TisaOT" w:hAnsi="TisaOT" w:cs="TisaOT"/>
        </w:rPr>
      </w:pPr>
      <w:r w:rsidRPr="006C3FF2">
        <w:rPr>
          <w:rFonts w:ascii="TisaOT" w:hAnsi="TisaOT" w:cs="TisaOT"/>
        </w:rPr>
        <w:t xml:space="preserve">Some cities across the state of Indiana are using </w:t>
      </w:r>
      <w:r w:rsidR="008D149C">
        <w:rPr>
          <w:rFonts w:ascii="TisaOT" w:hAnsi="TisaOT" w:cs="TisaOT"/>
        </w:rPr>
        <w:t xml:space="preserve">CARES Act funds </w:t>
      </w:r>
      <w:r w:rsidRPr="006C3FF2">
        <w:rPr>
          <w:rFonts w:ascii="TisaOT" w:hAnsi="TisaOT" w:cs="TisaOT"/>
        </w:rPr>
        <w:t xml:space="preserve">create </w:t>
      </w:r>
      <w:r w:rsidR="00771B9F" w:rsidRPr="006C3FF2">
        <w:rPr>
          <w:rFonts w:ascii="TisaOT" w:hAnsi="TisaOT" w:cs="TisaOT"/>
        </w:rPr>
        <w:t xml:space="preserve">city </w:t>
      </w:r>
      <w:r w:rsidRPr="006C3FF2">
        <w:rPr>
          <w:rFonts w:ascii="TisaOT" w:hAnsi="TisaOT" w:cs="TisaOT"/>
        </w:rPr>
        <w:t xml:space="preserve">rental assistance programs for their residents. </w:t>
      </w:r>
      <w:r w:rsidR="008D149C">
        <w:rPr>
          <w:rFonts w:ascii="TisaOT" w:hAnsi="TisaOT" w:cs="TisaOT"/>
        </w:rPr>
        <w:t xml:space="preserve">For example, </w:t>
      </w:r>
      <w:r w:rsidRPr="006C3FF2">
        <w:rPr>
          <w:rFonts w:ascii="TisaOT" w:hAnsi="TisaOT" w:cs="TisaOT"/>
        </w:rPr>
        <w:t>Anderson,</w:t>
      </w:r>
      <w:r w:rsidR="002C11EF" w:rsidRPr="006C3FF2">
        <w:rPr>
          <w:rFonts w:ascii="TisaOT" w:hAnsi="TisaOT" w:cs="TisaOT"/>
        </w:rPr>
        <w:t xml:space="preserve"> </w:t>
      </w:r>
      <w:r w:rsidR="00143AE9" w:rsidRPr="006C3FF2">
        <w:rPr>
          <w:rFonts w:ascii="TisaOT" w:hAnsi="TisaOT" w:cs="TisaOT"/>
        </w:rPr>
        <w:t xml:space="preserve">Bloomington, </w:t>
      </w:r>
      <w:r w:rsidRPr="006C3FF2">
        <w:rPr>
          <w:rFonts w:ascii="TisaOT" w:hAnsi="TisaOT" w:cs="TisaOT"/>
        </w:rPr>
        <w:t>Columbus, Elkhart</w:t>
      </w:r>
      <w:r w:rsidR="007B306D" w:rsidRPr="006C3FF2">
        <w:rPr>
          <w:rFonts w:ascii="TisaOT" w:hAnsi="TisaOT" w:cs="TisaOT"/>
        </w:rPr>
        <w:t xml:space="preserve">, </w:t>
      </w:r>
      <w:r w:rsidR="00143AE9" w:rsidRPr="006C3FF2">
        <w:rPr>
          <w:rFonts w:ascii="TisaOT" w:hAnsi="TisaOT" w:cs="TisaOT"/>
        </w:rPr>
        <w:t xml:space="preserve">Evansville, </w:t>
      </w:r>
      <w:r w:rsidR="00A24E29" w:rsidRPr="006C3FF2">
        <w:rPr>
          <w:rFonts w:ascii="TisaOT" w:hAnsi="TisaOT" w:cs="TisaOT"/>
        </w:rPr>
        <w:t>Fort Wayne</w:t>
      </w:r>
      <w:r w:rsidR="00716F51" w:rsidRPr="006C3FF2">
        <w:rPr>
          <w:rFonts w:ascii="TisaOT" w:hAnsi="TisaOT" w:cs="TisaOT"/>
        </w:rPr>
        <w:t xml:space="preserve">, </w:t>
      </w:r>
      <w:r w:rsidR="004A5386" w:rsidRPr="006C3FF2">
        <w:rPr>
          <w:rFonts w:ascii="TisaOT" w:hAnsi="TisaOT" w:cs="TisaOT"/>
        </w:rPr>
        <w:t xml:space="preserve">La Porte, </w:t>
      </w:r>
      <w:r w:rsidRPr="006C3FF2">
        <w:rPr>
          <w:rFonts w:ascii="TisaOT" w:hAnsi="TisaOT" w:cs="TisaOT"/>
        </w:rPr>
        <w:t xml:space="preserve">Michigan City, Muncie, and South Bend are all currently or planning to use </w:t>
      </w:r>
      <w:r w:rsidR="00A24E29" w:rsidRPr="006C3FF2">
        <w:rPr>
          <w:rFonts w:ascii="TisaOT" w:hAnsi="TisaOT" w:cs="TisaOT"/>
        </w:rPr>
        <w:t xml:space="preserve">a portion of </w:t>
      </w:r>
      <w:r w:rsidRPr="006C3FF2">
        <w:rPr>
          <w:rFonts w:ascii="TisaOT" w:hAnsi="TisaOT" w:cs="TisaOT"/>
        </w:rPr>
        <w:t>their C</w:t>
      </w:r>
      <w:r w:rsidR="008D149C">
        <w:rPr>
          <w:rFonts w:ascii="TisaOT" w:hAnsi="TisaOT" w:cs="TisaOT"/>
        </w:rPr>
        <w:t xml:space="preserve">ommunity Development </w:t>
      </w:r>
      <w:r w:rsidRPr="006C3FF2">
        <w:rPr>
          <w:rFonts w:ascii="TisaOT" w:hAnsi="TisaOT" w:cs="TisaOT"/>
        </w:rPr>
        <w:t>B</w:t>
      </w:r>
      <w:r w:rsidR="008D149C">
        <w:rPr>
          <w:rFonts w:ascii="TisaOT" w:hAnsi="TisaOT" w:cs="TisaOT"/>
        </w:rPr>
        <w:t xml:space="preserve">lock </w:t>
      </w:r>
      <w:r w:rsidRPr="006C3FF2">
        <w:rPr>
          <w:rFonts w:ascii="TisaOT" w:hAnsi="TisaOT" w:cs="TisaOT"/>
        </w:rPr>
        <w:t>G</w:t>
      </w:r>
      <w:r w:rsidR="008D149C">
        <w:rPr>
          <w:rFonts w:ascii="TisaOT" w:hAnsi="TisaOT" w:cs="TisaOT"/>
        </w:rPr>
        <w:t>rant (CDBG)</w:t>
      </w:r>
      <w:r w:rsidRPr="006C3FF2">
        <w:rPr>
          <w:rFonts w:ascii="TisaOT" w:hAnsi="TisaOT" w:cs="TisaOT"/>
        </w:rPr>
        <w:t xml:space="preserve"> funds for rental assistance programs. Hammond reported that they will </w:t>
      </w:r>
      <w:r w:rsidR="00DE764F" w:rsidRPr="006C3FF2">
        <w:rPr>
          <w:rFonts w:ascii="TisaOT" w:hAnsi="TisaOT" w:cs="TisaOT"/>
        </w:rPr>
        <w:t xml:space="preserve">be using their HOME Investment Partnership </w:t>
      </w:r>
      <w:r w:rsidR="00C754E0">
        <w:rPr>
          <w:rFonts w:ascii="TisaOT" w:hAnsi="TisaOT" w:cs="TisaOT"/>
        </w:rPr>
        <w:t xml:space="preserve">(HOME) </w:t>
      </w:r>
      <w:r w:rsidR="00DE764F" w:rsidRPr="006C3FF2">
        <w:rPr>
          <w:rFonts w:ascii="TisaOT" w:hAnsi="TisaOT" w:cs="TisaOT"/>
        </w:rPr>
        <w:t>and E</w:t>
      </w:r>
      <w:r w:rsidR="008D149C">
        <w:rPr>
          <w:rFonts w:ascii="TisaOT" w:hAnsi="TisaOT" w:cs="TisaOT"/>
        </w:rPr>
        <w:t xml:space="preserve">mergency </w:t>
      </w:r>
      <w:r w:rsidR="00DE764F" w:rsidRPr="006C3FF2">
        <w:rPr>
          <w:rFonts w:ascii="TisaOT" w:hAnsi="TisaOT" w:cs="TisaOT"/>
        </w:rPr>
        <w:t>S</w:t>
      </w:r>
      <w:r w:rsidR="008D149C">
        <w:rPr>
          <w:rFonts w:ascii="TisaOT" w:hAnsi="TisaOT" w:cs="TisaOT"/>
        </w:rPr>
        <w:t xml:space="preserve">olutions </w:t>
      </w:r>
      <w:r w:rsidR="00DE764F" w:rsidRPr="006C3FF2">
        <w:rPr>
          <w:rFonts w:ascii="TisaOT" w:hAnsi="TisaOT" w:cs="TisaOT"/>
        </w:rPr>
        <w:t>G</w:t>
      </w:r>
      <w:r w:rsidR="008D149C">
        <w:rPr>
          <w:rFonts w:ascii="TisaOT" w:hAnsi="TisaOT" w:cs="TisaOT"/>
        </w:rPr>
        <w:t>rant (ESG)</w:t>
      </w:r>
      <w:r w:rsidR="00DE764F" w:rsidRPr="006C3FF2">
        <w:rPr>
          <w:rFonts w:ascii="TisaOT" w:hAnsi="TisaOT" w:cs="TisaOT"/>
        </w:rPr>
        <w:t xml:space="preserve"> funds.</w:t>
      </w:r>
      <w:r w:rsidR="008B1E66" w:rsidRPr="006C3FF2">
        <w:rPr>
          <w:rFonts w:ascii="TisaOT" w:hAnsi="TisaOT" w:cs="TisaOT"/>
        </w:rPr>
        <w:t xml:space="preserve"> </w:t>
      </w:r>
      <w:r w:rsidR="00BF06C7" w:rsidRPr="006C3FF2">
        <w:rPr>
          <w:rFonts w:ascii="TisaOT" w:hAnsi="TisaOT" w:cs="TisaOT"/>
        </w:rPr>
        <w:t xml:space="preserve">Indianapolis plans to use </w:t>
      </w:r>
      <w:r w:rsidR="008D149C">
        <w:rPr>
          <w:rFonts w:ascii="TisaOT" w:hAnsi="TisaOT" w:cs="TisaOT"/>
        </w:rPr>
        <w:t>Coronavirus Relief Fund (CRF)</w:t>
      </w:r>
      <w:r w:rsidR="00BF06C7" w:rsidRPr="006C3FF2">
        <w:rPr>
          <w:rFonts w:ascii="TisaOT" w:hAnsi="TisaOT" w:cs="TisaOT"/>
        </w:rPr>
        <w:t xml:space="preserve"> funds for assistance and is currently assessing the specific needs and allocations </w:t>
      </w:r>
      <w:r w:rsidR="004913EB" w:rsidRPr="006C3FF2">
        <w:rPr>
          <w:rFonts w:ascii="TisaOT" w:hAnsi="TisaOT" w:cs="TisaOT"/>
        </w:rPr>
        <w:t>for rental assistance, shelter operations, and prevention</w:t>
      </w:r>
      <w:r w:rsidR="00BF06C7" w:rsidRPr="006C3FF2">
        <w:rPr>
          <w:rFonts w:ascii="TisaOT" w:hAnsi="TisaOT" w:cs="TisaOT"/>
        </w:rPr>
        <w:t>.</w:t>
      </w:r>
    </w:p>
    <w:p w14:paraId="644DB187" w14:textId="77777777" w:rsidR="00A857BC" w:rsidRPr="006C3FF2" w:rsidRDefault="00A857BC" w:rsidP="00582783">
      <w:pPr>
        <w:rPr>
          <w:rFonts w:ascii="TisaOT" w:hAnsi="TisaOT" w:cs="TisaOT"/>
        </w:rPr>
      </w:pPr>
    </w:p>
    <w:p w14:paraId="2B704E01" w14:textId="3E94B343" w:rsidR="00582783" w:rsidRPr="006C3FF2" w:rsidRDefault="00DE764F" w:rsidP="00582783">
      <w:pPr>
        <w:rPr>
          <w:rFonts w:ascii="TisaOT" w:hAnsi="TisaOT" w:cs="TisaOT"/>
        </w:rPr>
      </w:pPr>
      <w:r w:rsidRPr="006C3FF2">
        <w:rPr>
          <w:rFonts w:ascii="TisaOT" w:hAnsi="TisaOT" w:cs="TisaOT"/>
        </w:rPr>
        <w:t>Kokomo</w:t>
      </w:r>
      <w:r w:rsidR="0013450D" w:rsidRPr="006C3FF2">
        <w:rPr>
          <w:rFonts w:ascii="TisaOT" w:hAnsi="TisaOT" w:cs="TisaOT"/>
        </w:rPr>
        <w:t xml:space="preserve">, Terre Haute, </w:t>
      </w:r>
      <w:r w:rsidRPr="006C3FF2">
        <w:rPr>
          <w:rFonts w:ascii="TisaOT" w:hAnsi="TisaOT" w:cs="TisaOT"/>
        </w:rPr>
        <w:t xml:space="preserve">and West Lafayette </w:t>
      </w:r>
      <w:r w:rsidR="008D149C">
        <w:rPr>
          <w:rFonts w:ascii="TisaOT" w:hAnsi="TisaOT" w:cs="TisaOT"/>
        </w:rPr>
        <w:t xml:space="preserve">reported that they </w:t>
      </w:r>
      <w:r w:rsidRPr="006C3FF2">
        <w:rPr>
          <w:rFonts w:ascii="TisaOT" w:hAnsi="TisaOT" w:cs="TisaOT"/>
        </w:rPr>
        <w:t xml:space="preserve">are not </w:t>
      </w:r>
      <w:r w:rsidR="008D149C">
        <w:rPr>
          <w:rFonts w:ascii="TisaOT" w:hAnsi="TisaOT" w:cs="TisaOT"/>
        </w:rPr>
        <w:t xml:space="preserve">using or </w:t>
      </w:r>
      <w:r w:rsidR="001E34E1" w:rsidRPr="006C3FF2">
        <w:rPr>
          <w:rFonts w:ascii="TisaOT" w:hAnsi="TisaOT" w:cs="TisaOT"/>
        </w:rPr>
        <w:t xml:space="preserve">planning </w:t>
      </w:r>
      <w:r w:rsidR="000C7B31" w:rsidRPr="006C3FF2">
        <w:rPr>
          <w:rFonts w:ascii="TisaOT" w:hAnsi="TisaOT" w:cs="TisaOT"/>
        </w:rPr>
        <w:t xml:space="preserve">to </w:t>
      </w:r>
      <w:r w:rsidRPr="006C3FF2">
        <w:rPr>
          <w:rFonts w:ascii="TisaOT" w:hAnsi="TisaOT" w:cs="TisaOT"/>
        </w:rPr>
        <w:t>us</w:t>
      </w:r>
      <w:r w:rsidR="008D149C">
        <w:rPr>
          <w:rFonts w:ascii="TisaOT" w:hAnsi="TisaOT" w:cs="TisaOT"/>
        </w:rPr>
        <w:t>e</w:t>
      </w:r>
      <w:r w:rsidRPr="006C3FF2">
        <w:rPr>
          <w:rFonts w:ascii="TisaOT" w:hAnsi="TisaOT" w:cs="TisaOT"/>
        </w:rPr>
        <w:t xml:space="preserve"> CDBG for rental assistance at this time.</w:t>
      </w:r>
    </w:p>
    <w:p w14:paraId="12886677" w14:textId="77777777" w:rsidR="00582783" w:rsidRPr="006C3FF2" w:rsidRDefault="00582783" w:rsidP="00582783">
      <w:pPr>
        <w:rPr>
          <w:rFonts w:ascii="TisaOT" w:hAnsi="TisaOT" w:cs="TisaOT"/>
        </w:rPr>
      </w:pPr>
    </w:p>
    <w:p w14:paraId="780DA8C3" w14:textId="10BDCD60" w:rsidR="00A721F7" w:rsidRDefault="00582783" w:rsidP="00582783">
      <w:pPr>
        <w:rPr>
          <w:rFonts w:ascii="TisaOT" w:hAnsi="TisaOT" w:cs="TisaOT"/>
        </w:rPr>
      </w:pPr>
      <w:r w:rsidRPr="006C3FF2">
        <w:rPr>
          <w:rFonts w:ascii="TisaOT" w:hAnsi="TisaOT" w:cs="TisaOT"/>
        </w:rPr>
        <w:t>With the exception</w:t>
      </w:r>
      <w:r w:rsidR="00F931B0" w:rsidRPr="006C3FF2">
        <w:rPr>
          <w:rFonts w:ascii="TisaOT" w:hAnsi="TisaOT" w:cs="TisaOT"/>
        </w:rPr>
        <w:t>s of Columbus,</w:t>
      </w:r>
      <w:r w:rsidR="00621060">
        <w:rPr>
          <w:rFonts w:ascii="TisaOT" w:hAnsi="TisaOT" w:cs="TisaOT"/>
        </w:rPr>
        <w:t xml:space="preserve"> Indianapolis,</w:t>
      </w:r>
      <w:r w:rsidR="00F931B0" w:rsidRPr="006C3FF2">
        <w:rPr>
          <w:rFonts w:ascii="TisaOT" w:hAnsi="TisaOT" w:cs="TisaOT"/>
        </w:rPr>
        <w:t xml:space="preserve"> La Porte, and</w:t>
      </w:r>
      <w:r w:rsidRPr="006C3FF2">
        <w:rPr>
          <w:rFonts w:ascii="TisaOT" w:hAnsi="TisaOT" w:cs="TisaOT"/>
        </w:rPr>
        <w:t xml:space="preserve"> South Bend, city responses did not include the amount of allocated funding that they will be using. </w:t>
      </w:r>
      <w:r w:rsidR="00F931B0" w:rsidRPr="006C3FF2">
        <w:rPr>
          <w:rFonts w:ascii="TisaOT" w:hAnsi="TisaOT" w:cs="TisaOT"/>
        </w:rPr>
        <w:t xml:space="preserve">Columbus is allocating $125,000 of CDBG funds for rental and utility assistance. La Porte’s plan is to designate $197, 129 of CDBG-CV funds for rental, utility, and prescription assistance. </w:t>
      </w:r>
      <w:r w:rsidR="00727BC3" w:rsidRPr="006C3FF2">
        <w:rPr>
          <w:rFonts w:ascii="TisaOT" w:hAnsi="TisaOT" w:cs="TisaOT"/>
        </w:rPr>
        <w:t xml:space="preserve">According to their staff member, </w:t>
      </w:r>
      <w:r w:rsidRPr="006C3FF2">
        <w:rPr>
          <w:rFonts w:ascii="TisaOT" w:hAnsi="TisaOT" w:cs="TisaOT"/>
        </w:rPr>
        <w:t>South Bend plans to use $328,00 of the CDBG funds for rent and utility assistance and $350,000 of the ESG CARES for emergency shelter and rent assistance.</w:t>
      </w:r>
      <w:r w:rsidR="00621060">
        <w:rPr>
          <w:rFonts w:ascii="TisaOT" w:hAnsi="TisaOT" w:cs="TisaOT"/>
        </w:rPr>
        <w:t xml:space="preserve"> In addition, Indianapolis and Marion County, the only local units in the state to receive Coronavirus Relief Funds, will use $15 million in CRF for a rental assistance program.</w:t>
      </w:r>
    </w:p>
    <w:p w14:paraId="3BA3EA61" w14:textId="246038D7" w:rsidR="00DF58BD" w:rsidRPr="006C3FF2" w:rsidRDefault="00DF58BD" w:rsidP="00582783">
      <w:pPr>
        <w:rPr>
          <w:rFonts w:ascii="TisaOT" w:hAnsi="TisaOT" w:cs="TisaOT"/>
        </w:rPr>
      </w:pPr>
    </w:p>
    <w:p w14:paraId="252858F4" w14:textId="51776E71" w:rsidR="00CC3585" w:rsidRDefault="00135E9B">
      <w:pPr>
        <w:rPr>
          <w:rFonts w:ascii="TisaOT" w:hAnsi="TisaOT" w:cs="TisaOT"/>
        </w:rPr>
      </w:pPr>
      <w:r w:rsidRPr="006C3FF2">
        <w:rPr>
          <w:rFonts w:ascii="TisaOT" w:hAnsi="TisaOT" w:cs="TisaOT"/>
        </w:rPr>
        <w:t xml:space="preserve">The following chart outlines the </w:t>
      </w:r>
      <w:r w:rsidR="00513FD4">
        <w:rPr>
          <w:rFonts w:ascii="TisaOT" w:hAnsi="TisaOT" w:cs="TisaOT"/>
        </w:rPr>
        <w:t>allocation</w:t>
      </w:r>
      <w:r w:rsidR="00513FD4" w:rsidRPr="006C3FF2">
        <w:rPr>
          <w:rFonts w:ascii="TisaOT" w:hAnsi="TisaOT" w:cs="TisaOT"/>
        </w:rPr>
        <w:t xml:space="preserve"> </w:t>
      </w:r>
      <w:r w:rsidRPr="006C3FF2">
        <w:rPr>
          <w:rFonts w:ascii="TisaOT" w:hAnsi="TisaOT" w:cs="TisaOT"/>
        </w:rPr>
        <w:t xml:space="preserve">of </w:t>
      </w:r>
      <w:r w:rsidR="00513FD4">
        <w:rPr>
          <w:rFonts w:ascii="TisaOT" w:hAnsi="TisaOT" w:cs="TisaOT"/>
        </w:rPr>
        <w:t xml:space="preserve">CARES Act </w:t>
      </w:r>
      <w:r w:rsidRPr="006C3FF2">
        <w:rPr>
          <w:rFonts w:ascii="TisaOT" w:hAnsi="TisaOT" w:cs="TisaOT"/>
        </w:rPr>
        <w:t>funds in Indiana</w:t>
      </w:r>
      <w:r w:rsidR="00513FD4">
        <w:rPr>
          <w:rFonts w:ascii="TisaOT" w:hAnsi="TisaOT" w:cs="TisaOT"/>
        </w:rPr>
        <w:t xml:space="preserve">, along with notes of city responses to </w:t>
      </w:r>
      <w:r w:rsidR="002C233F">
        <w:rPr>
          <w:rFonts w:ascii="TisaOT" w:hAnsi="TisaOT" w:cs="TisaOT"/>
        </w:rPr>
        <w:t>our</w:t>
      </w:r>
      <w:r w:rsidR="00513FD4">
        <w:rPr>
          <w:rFonts w:ascii="TisaOT" w:hAnsi="TisaOT" w:cs="TisaOT"/>
        </w:rPr>
        <w:t xml:space="preserve"> survey</w:t>
      </w:r>
      <w:r w:rsidR="003A36F0">
        <w:rPr>
          <w:rFonts w:ascii="TisaOT" w:hAnsi="TisaOT" w:cs="TisaOT"/>
        </w:rPr>
        <w:t xml:space="preserve"> as of June 16</w:t>
      </w:r>
      <w:r w:rsidR="00D558FC">
        <w:rPr>
          <w:rFonts w:ascii="TisaOT" w:hAnsi="TisaOT" w:cs="TisaOT"/>
        </w:rPr>
        <w:t>, 2020</w:t>
      </w:r>
      <w:r w:rsidRPr="006C3FF2">
        <w:rPr>
          <w:rFonts w:ascii="TisaOT" w:hAnsi="TisaOT" w:cs="TisaOT"/>
        </w:rPr>
        <w:t>.</w:t>
      </w:r>
    </w:p>
    <w:p w14:paraId="6D1A4696" w14:textId="2412D451" w:rsidR="00F201F0" w:rsidRDefault="00F201F0">
      <w:pPr>
        <w:rPr>
          <w:rFonts w:ascii="TisaOT" w:hAnsi="TisaOT" w:cs="TisaOT"/>
        </w:rPr>
      </w:pPr>
    </w:p>
    <w:tbl>
      <w:tblPr>
        <w:tblpPr w:leftFromText="187" w:rightFromText="187" w:vertAnchor="text" w:tblpXSpec="center" w:tblpY="1"/>
        <w:tblOverlap w:val="never"/>
        <w:tblW w:w="11160" w:type="dxa"/>
        <w:jc w:val="center"/>
        <w:tblLook w:val="04A0" w:firstRow="1" w:lastRow="0" w:firstColumn="1" w:lastColumn="0" w:noHBand="0" w:noVBand="1"/>
      </w:tblPr>
      <w:tblGrid>
        <w:gridCol w:w="1512"/>
        <w:gridCol w:w="1455"/>
        <w:gridCol w:w="1455"/>
        <w:gridCol w:w="1476"/>
        <w:gridCol w:w="1455"/>
        <w:gridCol w:w="1375"/>
        <w:gridCol w:w="2432"/>
      </w:tblGrid>
      <w:tr w:rsidR="00F201F0" w:rsidRPr="00F201F0" w14:paraId="50EBF59B" w14:textId="77777777" w:rsidTr="00F201F0">
        <w:trPr>
          <w:trHeight w:val="904"/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9F08BCE" w14:textId="77777777" w:rsidR="00F201F0" w:rsidRPr="00F201F0" w:rsidRDefault="00F201F0" w:rsidP="00F201F0">
            <w:pPr>
              <w:rPr>
                <w:rFonts w:ascii="TisaOT-Bold" w:hAnsi="TisaOT-Bold"/>
                <w:b/>
                <w:bCs/>
                <w:color w:val="000000"/>
                <w:sz w:val="22"/>
                <w:szCs w:val="22"/>
              </w:rPr>
            </w:pPr>
            <w:r w:rsidRPr="00F201F0">
              <w:rPr>
                <w:rFonts w:ascii="TisaOT-Bold" w:hAnsi="TisaOT-Bold"/>
                <w:b/>
                <w:bCs/>
                <w:color w:val="000000"/>
                <w:sz w:val="22"/>
                <w:szCs w:val="22"/>
              </w:rPr>
              <w:lastRenderedPageBreak/>
              <w:t>NAME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C302EAF" w14:textId="77777777" w:rsidR="00F201F0" w:rsidRPr="00F201F0" w:rsidRDefault="00F201F0" w:rsidP="00F201F0">
            <w:pPr>
              <w:jc w:val="right"/>
              <w:rPr>
                <w:rFonts w:ascii="TisaOT-Bold" w:hAnsi="TisaOT-Bold"/>
                <w:b/>
                <w:bCs/>
                <w:color w:val="000000"/>
                <w:sz w:val="22"/>
                <w:szCs w:val="22"/>
              </w:rPr>
            </w:pPr>
            <w:r w:rsidRPr="00F201F0">
              <w:rPr>
                <w:rFonts w:ascii="TisaOT-Bold" w:hAnsi="TisaOT-Bold"/>
                <w:b/>
                <w:bCs/>
                <w:color w:val="000000"/>
                <w:sz w:val="22"/>
                <w:szCs w:val="22"/>
              </w:rPr>
              <w:t>04/02/2020 CDBG-CV1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F7BC90A" w14:textId="77777777" w:rsidR="00F201F0" w:rsidRPr="00F201F0" w:rsidRDefault="00F201F0" w:rsidP="00F201F0">
            <w:pPr>
              <w:jc w:val="right"/>
              <w:rPr>
                <w:rFonts w:ascii="TisaOT-Bold" w:hAnsi="TisaOT-Bold"/>
                <w:b/>
                <w:bCs/>
                <w:color w:val="000000"/>
                <w:sz w:val="22"/>
                <w:szCs w:val="22"/>
              </w:rPr>
            </w:pPr>
            <w:r w:rsidRPr="00F201F0">
              <w:rPr>
                <w:rFonts w:ascii="TisaOT-Bold" w:hAnsi="TisaOT-Bold"/>
                <w:b/>
                <w:bCs/>
                <w:color w:val="000000"/>
                <w:sz w:val="22"/>
                <w:szCs w:val="22"/>
              </w:rPr>
              <w:t>04/02/2020   ESG-CV1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ADC59D3" w14:textId="77777777" w:rsidR="00F201F0" w:rsidRPr="00F201F0" w:rsidRDefault="00F201F0" w:rsidP="00F201F0">
            <w:pPr>
              <w:jc w:val="right"/>
              <w:rPr>
                <w:rFonts w:ascii="TisaOT-Bold" w:hAnsi="TisaOT-Bold"/>
                <w:b/>
                <w:bCs/>
                <w:color w:val="000000"/>
                <w:sz w:val="22"/>
                <w:szCs w:val="22"/>
              </w:rPr>
            </w:pPr>
            <w:r w:rsidRPr="00F201F0">
              <w:rPr>
                <w:rFonts w:ascii="TisaOT-Bold" w:hAnsi="TisaOT-Bold"/>
                <w:b/>
                <w:bCs/>
                <w:color w:val="000000"/>
                <w:sz w:val="22"/>
                <w:szCs w:val="22"/>
              </w:rPr>
              <w:t>06/09/2020 ESG-CV2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26EE1A6" w14:textId="77777777" w:rsidR="00F201F0" w:rsidRPr="00F201F0" w:rsidRDefault="00F201F0" w:rsidP="00F201F0">
            <w:pPr>
              <w:jc w:val="right"/>
              <w:rPr>
                <w:rFonts w:ascii="TisaOT-Bold" w:hAnsi="TisaOT-Bold"/>
                <w:b/>
                <w:bCs/>
                <w:color w:val="000000"/>
                <w:sz w:val="22"/>
                <w:szCs w:val="22"/>
              </w:rPr>
            </w:pPr>
            <w:r w:rsidRPr="00F201F0">
              <w:rPr>
                <w:rFonts w:ascii="TisaOT-Bold" w:hAnsi="TisaOT-Bold"/>
                <w:b/>
                <w:bCs/>
                <w:color w:val="000000"/>
                <w:sz w:val="22"/>
                <w:szCs w:val="22"/>
              </w:rPr>
              <w:t>04/02/2020 HOPWA-CV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2D369A9" w14:textId="77777777" w:rsidR="00F201F0" w:rsidRPr="00F201F0" w:rsidRDefault="00F201F0" w:rsidP="00F201F0">
            <w:pPr>
              <w:jc w:val="center"/>
              <w:rPr>
                <w:rFonts w:ascii="TisaOT-Bold" w:hAnsi="TisaOT-Bold"/>
                <w:b/>
                <w:bCs/>
                <w:color w:val="000000"/>
                <w:sz w:val="22"/>
                <w:szCs w:val="22"/>
              </w:rPr>
            </w:pPr>
            <w:r w:rsidRPr="00F201F0">
              <w:rPr>
                <w:rFonts w:ascii="TisaOT-Bold" w:hAnsi="TisaOT-Bold"/>
                <w:b/>
                <w:bCs/>
                <w:color w:val="000000"/>
                <w:sz w:val="22"/>
                <w:szCs w:val="22"/>
              </w:rPr>
              <w:t>Funds Reported Being Used for Rental Assistance</w:t>
            </w:r>
          </w:p>
        </w:tc>
        <w:tc>
          <w:tcPr>
            <w:tcW w:w="4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3892F64" w14:textId="77777777" w:rsidR="00F201F0" w:rsidRPr="00F201F0" w:rsidRDefault="00F201F0" w:rsidP="00F201F0">
            <w:pPr>
              <w:jc w:val="center"/>
              <w:rPr>
                <w:rFonts w:ascii="TisaOT-Bold" w:hAnsi="TisaOT-Bold"/>
                <w:b/>
                <w:bCs/>
                <w:color w:val="000000"/>
                <w:sz w:val="22"/>
                <w:szCs w:val="22"/>
              </w:rPr>
            </w:pPr>
            <w:r w:rsidRPr="00F201F0">
              <w:rPr>
                <w:rFonts w:ascii="TisaOT-Bold" w:hAnsi="TisaOT-Bold"/>
                <w:b/>
                <w:bCs/>
                <w:color w:val="000000"/>
                <w:sz w:val="22"/>
                <w:szCs w:val="22"/>
              </w:rPr>
              <w:t>Notes</w:t>
            </w:r>
          </w:p>
        </w:tc>
      </w:tr>
      <w:tr w:rsidR="00F201F0" w:rsidRPr="00F201F0" w14:paraId="7054B30E" w14:textId="77777777" w:rsidTr="00F201F0">
        <w:trPr>
          <w:trHeight w:val="301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12D4" w14:textId="77777777" w:rsidR="00F201F0" w:rsidRPr="00F201F0" w:rsidRDefault="00F201F0" w:rsidP="00F201F0">
            <w:pPr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Anderson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087C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$547,410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631A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$0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9F0F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$0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7C848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$0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5715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0"/>
                <w:szCs w:val="20"/>
              </w:rPr>
            </w:pPr>
            <w:r w:rsidRPr="00F201F0">
              <w:rPr>
                <w:rFonts w:ascii="TisaOT" w:hAnsi="TisaOT" w:cs="TisaOT"/>
                <w:color w:val="000000"/>
                <w:sz w:val="20"/>
                <w:szCs w:val="20"/>
              </w:rPr>
              <w:t>CDBG;  HOME TBRA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B42A" w14:textId="77777777" w:rsidR="00F201F0" w:rsidRPr="00F201F0" w:rsidRDefault="00F201F0" w:rsidP="00F201F0">
            <w:pPr>
              <w:rPr>
                <w:rFonts w:ascii="TisaOT" w:hAnsi="TisaOT" w:cs="TisaOT"/>
                <w:color w:val="000000"/>
                <w:sz w:val="20"/>
                <w:szCs w:val="20"/>
              </w:rPr>
            </w:pPr>
            <w:r w:rsidRPr="00F201F0">
              <w:rPr>
                <w:rFonts w:ascii="TisaOT" w:hAnsi="TisaOT" w:cs="TisaOT"/>
                <w:color w:val="000000"/>
                <w:sz w:val="20"/>
                <w:szCs w:val="20"/>
              </w:rPr>
              <w:t> </w:t>
            </w:r>
          </w:p>
        </w:tc>
      </w:tr>
      <w:tr w:rsidR="00F201F0" w:rsidRPr="00F201F0" w14:paraId="77F54B48" w14:textId="77777777" w:rsidTr="00F201F0">
        <w:trPr>
          <w:trHeight w:val="301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0D67" w14:textId="77777777" w:rsidR="00F201F0" w:rsidRPr="00F201F0" w:rsidRDefault="00F201F0" w:rsidP="00F201F0">
            <w:pPr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Bloomington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2938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$525,656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2C79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$0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03C9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$0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0A17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$0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E68C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0"/>
                <w:szCs w:val="20"/>
              </w:rPr>
            </w:pPr>
            <w:r w:rsidRPr="00F201F0">
              <w:rPr>
                <w:rFonts w:ascii="TisaOT" w:hAnsi="TisaOT" w:cs="TisaOT"/>
                <w:color w:val="000000"/>
                <w:sz w:val="20"/>
                <w:szCs w:val="20"/>
              </w:rPr>
              <w:t>CDBG; Jack Hopkins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9307" w14:textId="77777777" w:rsidR="00F201F0" w:rsidRPr="00F201F0" w:rsidRDefault="00F201F0" w:rsidP="00F201F0">
            <w:pPr>
              <w:rPr>
                <w:rFonts w:ascii="TisaOT" w:hAnsi="TisaOT" w:cs="TisaOT"/>
                <w:color w:val="000000"/>
                <w:sz w:val="20"/>
                <w:szCs w:val="20"/>
              </w:rPr>
            </w:pPr>
            <w:r w:rsidRPr="00F201F0">
              <w:rPr>
                <w:rFonts w:ascii="TisaOT" w:hAnsi="TisaOT" w:cs="TisaOT"/>
                <w:color w:val="000000"/>
                <w:sz w:val="20"/>
                <w:szCs w:val="20"/>
              </w:rPr>
              <w:t>Agencies will receive the funding to oversee the programs</w:t>
            </w:r>
          </w:p>
        </w:tc>
      </w:tr>
      <w:tr w:rsidR="00F201F0" w:rsidRPr="00F201F0" w14:paraId="69AD7D06" w14:textId="77777777" w:rsidTr="00F201F0">
        <w:trPr>
          <w:trHeight w:val="567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FDE6" w14:textId="77777777" w:rsidR="00F201F0" w:rsidRPr="00F201F0" w:rsidRDefault="00F201F0" w:rsidP="00F201F0">
            <w:pPr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Columbus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1408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$183,761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4894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$0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2F27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$0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DFC2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$0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E13B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0"/>
                <w:szCs w:val="20"/>
              </w:rPr>
            </w:pPr>
            <w:r w:rsidRPr="00F201F0">
              <w:rPr>
                <w:rFonts w:ascii="TisaOT" w:hAnsi="TisaOT" w:cs="TisaOT"/>
                <w:color w:val="000000"/>
                <w:sz w:val="20"/>
                <w:szCs w:val="20"/>
              </w:rPr>
              <w:t>CDBG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606A" w14:textId="77777777" w:rsidR="00F201F0" w:rsidRPr="00F201F0" w:rsidRDefault="00F201F0" w:rsidP="00F201F0">
            <w:pPr>
              <w:rPr>
                <w:rFonts w:ascii="TisaOT" w:hAnsi="TisaOT" w:cs="TisaOT"/>
                <w:color w:val="000000"/>
                <w:sz w:val="20"/>
                <w:szCs w:val="20"/>
              </w:rPr>
            </w:pPr>
            <w:r w:rsidRPr="00F201F0">
              <w:rPr>
                <w:rFonts w:ascii="TisaOT" w:hAnsi="TisaOT" w:cs="TisaOT"/>
                <w:color w:val="000000"/>
                <w:sz w:val="20"/>
                <w:szCs w:val="20"/>
              </w:rPr>
              <w:t>$125,00 from the CDBG funds for rental and utility assistance. They have also set aside an additional $75,000 if more assistance is required.</w:t>
            </w:r>
          </w:p>
        </w:tc>
      </w:tr>
      <w:tr w:rsidR="00F201F0" w:rsidRPr="00F201F0" w14:paraId="3A66F8E8" w14:textId="77777777" w:rsidTr="00F201F0">
        <w:trPr>
          <w:trHeight w:val="301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4A10" w14:textId="77777777" w:rsidR="00F201F0" w:rsidRPr="00F201F0" w:rsidRDefault="00F201F0" w:rsidP="00F201F0">
            <w:pPr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East Chicago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1D74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$787,698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6DC95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$0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1A1D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$0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D081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$0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DC60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0"/>
                <w:szCs w:val="20"/>
              </w:rPr>
            </w:pPr>
            <w:r w:rsidRPr="00F201F0">
              <w:rPr>
                <w:rFonts w:ascii="TisaOT" w:hAnsi="TisaOT" w:cs="TisaO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1DD9" w14:textId="77777777" w:rsidR="00F201F0" w:rsidRPr="00F201F0" w:rsidRDefault="00F201F0" w:rsidP="00F201F0">
            <w:pPr>
              <w:rPr>
                <w:rFonts w:ascii="TisaOT" w:hAnsi="TisaOT" w:cs="TisaOT"/>
                <w:color w:val="000000"/>
                <w:sz w:val="20"/>
                <w:szCs w:val="20"/>
              </w:rPr>
            </w:pPr>
            <w:r w:rsidRPr="00F201F0">
              <w:rPr>
                <w:rFonts w:ascii="TisaOT" w:hAnsi="TisaOT" w:cs="TisaOT"/>
                <w:color w:val="000000"/>
                <w:sz w:val="20"/>
                <w:szCs w:val="20"/>
              </w:rPr>
              <w:t>Still in planning phase and deciding which program to fund</w:t>
            </w:r>
          </w:p>
        </w:tc>
      </w:tr>
      <w:tr w:rsidR="00F201F0" w:rsidRPr="00F201F0" w14:paraId="102E9164" w14:textId="77777777" w:rsidTr="00F201F0">
        <w:trPr>
          <w:trHeight w:val="301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A57D" w14:textId="77777777" w:rsidR="00F201F0" w:rsidRPr="00F201F0" w:rsidRDefault="00F201F0" w:rsidP="00F201F0">
            <w:pPr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Elkhart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71A4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$447,978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9A7D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$0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7545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$0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92F6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$0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8B85E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0"/>
                <w:szCs w:val="20"/>
              </w:rPr>
            </w:pPr>
            <w:r w:rsidRPr="00F201F0">
              <w:rPr>
                <w:rFonts w:ascii="TisaOT" w:hAnsi="TisaOT" w:cs="TisaOT"/>
                <w:color w:val="000000"/>
                <w:sz w:val="20"/>
                <w:szCs w:val="20"/>
              </w:rPr>
              <w:t>CDBG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AF30" w14:textId="77777777" w:rsidR="00F201F0" w:rsidRPr="00F201F0" w:rsidRDefault="00F201F0" w:rsidP="00F201F0">
            <w:pPr>
              <w:rPr>
                <w:rFonts w:ascii="TisaOT" w:hAnsi="TisaOT" w:cs="TisaOT"/>
                <w:color w:val="000000"/>
                <w:sz w:val="20"/>
                <w:szCs w:val="20"/>
              </w:rPr>
            </w:pPr>
            <w:r w:rsidRPr="00F201F0">
              <w:rPr>
                <w:rFonts w:ascii="TisaOT" w:hAnsi="TisaOT" w:cs="TisaOT"/>
                <w:color w:val="000000"/>
                <w:sz w:val="20"/>
                <w:szCs w:val="20"/>
              </w:rPr>
              <w:t> </w:t>
            </w:r>
          </w:p>
        </w:tc>
      </w:tr>
      <w:tr w:rsidR="00F201F0" w:rsidRPr="00F201F0" w14:paraId="322CD1DA" w14:textId="77777777" w:rsidTr="00F201F0">
        <w:trPr>
          <w:trHeight w:val="85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C71B5" w14:textId="77777777" w:rsidR="00F201F0" w:rsidRPr="00F201F0" w:rsidRDefault="00F201F0" w:rsidP="00F201F0">
            <w:pPr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Evansville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186D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$1,592,787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E81D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$790,410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6432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$941,088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ACD5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$0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129D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0"/>
                <w:szCs w:val="20"/>
              </w:rPr>
            </w:pPr>
            <w:r w:rsidRPr="00F201F0">
              <w:rPr>
                <w:rFonts w:ascii="TisaOT" w:hAnsi="TisaOT" w:cs="TisaOT"/>
                <w:color w:val="000000"/>
                <w:sz w:val="20"/>
                <w:szCs w:val="20"/>
              </w:rPr>
              <w:t>CDBG; ESG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E375" w14:textId="77777777" w:rsidR="00F201F0" w:rsidRPr="00F201F0" w:rsidRDefault="00F201F0" w:rsidP="00F201F0">
            <w:pPr>
              <w:rPr>
                <w:rFonts w:ascii="TisaOT" w:hAnsi="TisaOT" w:cs="TisaOT"/>
                <w:color w:val="000000"/>
                <w:sz w:val="20"/>
                <w:szCs w:val="20"/>
              </w:rPr>
            </w:pPr>
            <w:r w:rsidRPr="00F201F0">
              <w:rPr>
                <w:rFonts w:ascii="TisaOT" w:hAnsi="TisaOT" w:cs="TisaOT"/>
                <w:color w:val="000000"/>
                <w:sz w:val="20"/>
                <w:szCs w:val="20"/>
              </w:rPr>
              <w:t>Rent and mortgage assistance through HOPE of Evansville with CDBG CV funds; ESG CV diversion from homelessness through Aurora of Evansville</w:t>
            </w:r>
          </w:p>
        </w:tc>
      </w:tr>
      <w:tr w:rsidR="00F201F0" w:rsidRPr="00F201F0" w14:paraId="4F5BF3B5" w14:textId="77777777" w:rsidTr="00F201F0">
        <w:trPr>
          <w:trHeight w:val="85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6392" w14:textId="77777777" w:rsidR="00F201F0" w:rsidRPr="00F201F0" w:rsidRDefault="00F201F0" w:rsidP="00F201F0">
            <w:pPr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Fort Wayne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CDE7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$1,196,985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E61E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$598,952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E684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$1,157,870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12B8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$0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0298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0"/>
                <w:szCs w:val="20"/>
              </w:rPr>
            </w:pPr>
            <w:r w:rsidRPr="00F201F0">
              <w:rPr>
                <w:rFonts w:ascii="TisaOT" w:hAnsi="TisaOT" w:cs="TisaOT"/>
                <w:color w:val="000000"/>
                <w:sz w:val="20"/>
                <w:szCs w:val="20"/>
              </w:rPr>
              <w:t>CDBG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74D5" w14:textId="77777777" w:rsidR="00F201F0" w:rsidRPr="00F201F0" w:rsidRDefault="00F201F0" w:rsidP="00F201F0">
            <w:pPr>
              <w:rPr>
                <w:rFonts w:ascii="TisaOT" w:hAnsi="TisaOT" w:cs="TisaOT"/>
                <w:color w:val="000000"/>
                <w:sz w:val="20"/>
                <w:szCs w:val="20"/>
              </w:rPr>
            </w:pPr>
            <w:r w:rsidRPr="00F201F0">
              <w:rPr>
                <w:rFonts w:ascii="TisaOT" w:hAnsi="TisaOT" w:cs="TisaOT"/>
                <w:color w:val="000000"/>
                <w:sz w:val="20"/>
                <w:szCs w:val="20"/>
              </w:rPr>
              <w:t>CDBG CARES for Tenant Legal Aid Clinic; Financial Assistance Program for rent and utilities with CDBG-CV; Exploring the possibility of providing rental assistance with HOME</w:t>
            </w:r>
          </w:p>
        </w:tc>
      </w:tr>
      <w:tr w:rsidR="00F201F0" w:rsidRPr="00F201F0" w14:paraId="12E55C58" w14:textId="77777777" w:rsidTr="00F201F0">
        <w:trPr>
          <w:trHeight w:val="567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48EA" w14:textId="77777777" w:rsidR="00F201F0" w:rsidRPr="00F201F0" w:rsidRDefault="00F201F0" w:rsidP="00F201F0">
            <w:pPr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Gary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EA89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$1,974,302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6614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$997,166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0514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$1,093,079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94C0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$0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6457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0"/>
                <w:szCs w:val="20"/>
              </w:rPr>
            </w:pPr>
            <w:r w:rsidRPr="00F201F0">
              <w:rPr>
                <w:rFonts w:ascii="TisaOT" w:hAnsi="TisaOT" w:cs="TisaOT"/>
                <w:color w:val="000000"/>
                <w:sz w:val="20"/>
                <w:szCs w:val="20"/>
              </w:rPr>
              <w:t>ESG-CV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5283C" w14:textId="77777777" w:rsidR="00F201F0" w:rsidRPr="00F201F0" w:rsidRDefault="00F201F0" w:rsidP="00F201F0">
            <w:pPr>
              <w:rPr>
                <w:rFonts w:ascii="TisaOT" w:hAnsi="TisaOT" w:cs="TisaOT"/>
                <w:color w:val="000000"/>
                <w:sz w:val="20"/>
                <w:szCs w:val="20"/>
              </w:rPr>
            </w:pPr>
            <w:r w:rsidRPr="00F201F0">
              <w:rPr>
                <w:rFonts w:ascii="TisaOT" w:hAnsi="TisaOT" w:cs="TisaOT"/>
                <w:color w:val="000000"/>
                <w:sz w:val="20"/>
                <w:szCs w:val="20"/>
              </w:rPr>
              <w:t>ESG-CV set aside for Rapid Rehousing and homelessness prevention; no funds designated from CDBG-CV; Continuing HOME TBRA program</w:t>
            </w:r>
          </w:p>
        </w:tc>
      </w:tr>
      <w:tr w:rsidR="00F201F0" w:rsidRPr="00F201F0" w14:paraId="25B0F2D5" w14:textId="77777777" w:rsidTr="00F201F0">
        <w:trPr>
          <w:trHeight w:val="301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4795" w14:textId="77777777" w:rsidR="00F201F0" w:rsidRPr="00F201F0" w:rsidRDefault="00F201F0" w:rsidP="00F201F0">
            <w:pPr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Goshen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C7AB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$160,517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AA8DD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$0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F389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$0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B306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$0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C85E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0"/>
                <w:szCs w:val="20"/>
              </w:rPr>
            </w:pPr>
            <w:r w:rsidRPr="00F201F0">
              <w:rPr>
                <w:rFonts w:ascii="TisaOT" w:hAnsi="TisaOT" w:cs="TisaO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9A29" w14:textId="77777777" w:rsidR="00F201F0" w:rsidRPr="00F201F0" w:rsidRDefault="00F201F0" w:rsidP="00F201F0">
            <w:pPr>
              <w:rPr>
                <w:rFonts w:ascii="TisaOT" w:hAnsi="TisaOT" w:cs="TisaOT"/>
                <w:color w:val="000000"/>
                <w:sz w:val="20"/>
                <w:szCs w:val="20"/>
              </w:rPr>
            </w:pPr>
            <w:r w:rsidRPr="00F201F0">
              <w:rPr>
                <w:rFonts w:ascii="TisaOT" w:hAnsi="TisaOT" w:cs="TisaOT"/>
                <w:color w:val="000000"/>
                <w:sz w:val="20"/>
                <w:szCs w:val="20"/>
              </w:rPr>
              <w:t>Did not respond.</w:t>
            </w:r>
          </w:p>
        </w:tc>
      </w:tr>
      <w:tr w:rsidR="00F201F0" w:rsidRPr="00F201F0" w14:paraId="0CF8CCF2" w14:textId="77777777" w:rsidTr="00F201F0">
        <w:trPr>
          <w:trHeight w:val="301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AA5A" w14:textId="77777777" w:rsidR="00F201F0" w:rsidRPr="00F201F0" w:rsidRDefault="00F201F0" w:rsidP="00F201F0">
            <w:pPr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Greenwood*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3F16B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$211,126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94F3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$0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0A83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$0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346E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$0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4EED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0"/>
                <w:szCs w:val="20"/>
              </w:rPr>
            </w:pPr>
            <w:r w:rsidRPr="00F201F0">
              <w:rPr>
                <w:rFonts w:ascii="TisaOT" w:hAnsi="TisaOT" w:cs="TisaO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DAC0" w14:textId="77777777" w:rsidR="00F201F0" w:rsidRPr="00F201F0" w:rsidRDefault="00F201F0" w:rsidP="00F201F0">
            <w:pPr>
              <w:rPr>
                <w:rFonts w:ascii="TisaOT" w:hAnsi="TisaOT" w:cs="TisaOT"/>
                <w:color w:val="000000"/>
                <w:sz w:val="20"/>
                <w:szCs w:val="20"/>
              </w:rPr>
            </w:pPr>
            <w:r w:rsidRPr="00F201F0">
              <w:rPr>
                <w:rFonts w:ascii="TisaOT" w:hAnsi="TisaOT" w:cs="TisaOT"/>
                <w:color w:val="000000"/>
                <w:sz w:val="20"/>
                <w:szCs w:val="20"/>
              </w:rPr>
              <w:t>Did not respond.</w:t>
            </w:r>
          </w:p>
        </w:tc>
      </w:tr>
      <w:tr w:rsidR="00F201F0" w:rsidRPr="00F201F0" w14:paraId="05CE515D" w14:textId="77777777" w:rsidTr="00F201F0">
        <w:trPr>
          <w:trHeight w:val="301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278C" w14:textId="77777777" w:rsidR="00F201F0" w:rsidRPr="00F201F0" w:rsidRDefault="00F201F0" w:rsidP="00F201F0">
            <w:pPr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Hammond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F236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$1,257,099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DEFB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$635,393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0319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$649,003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AD99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$0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BD6C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0"/>
                <w:szCs w:val="20"/>
              </w:rPr>
            </w:pPr>
            <w:r w:rsidRPr="00F201F0">
              <w:rPr>
                <w:rFonts w:ascii="TisaOT" w:hAnsi="TisaOT" w:cs="TisaOT"/>
                <w:color w:val="000000"/>
                <w:sz w:val="20"/>
                <w:szCs w:val="20"/>
              </w:rPr>
              <w:t>ESG; HOME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8EDC" w14:textId="77777777" w:rsidR="00F201F0" w:rsidRPr="00F201F0" w:rsidRDefault="00F201F0" w:rsidP="00F201F0">
            <w:pPr>
              <w:rPr>
                <w:rFonts w:ascii="TisaOT" w:hAnsi="TisaOT" w:cs="TisaOT"/>
                <w:color w:val="000000"/>
                <w:sz w:val="20"/>
                <w:szCs w:val="20"/>
              </w:rPr>
            </w:pPr>
            <w:r w:rsidRPr="00F201F0">
              <w:rPr>
                <w:rFonts w:ascii="TisaOT" w:hAnsi="TisaOT" w:cs="TisaOT"/>
                <w:color w:val="000000"/>
                <w:sz w:val="20"/>
                <w:szCs w:val="20"/>
              </w:rPr>
              <w:t> </w:t>
            </w:r>
          </w:p>
        </w:tc>
      </w:tr>
      <w:tr w:rsidR="00F201F0" w:rsidRPr="00F201F0" w14:paraId="6F1FCFD2" w14:textId="77777777" w:rsidTr="00F201F0">
        <w:trPr>
          <w:trHeight w:val="85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132D" w14:textId="77777777" w:rsidR="00F201F0" w:rsidRPr="00F201F0" w:rsidRDefault="00F201F0" w:rsidP="00F201F0">
            <w:pPr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lastRenderedPageBreak/>
              <w:t>Indianapolis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98FA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$5,601,075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98391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$2,792,797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15DC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$7,122,695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7E00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$232,202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A11D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0"/>
                <w:szCs w:val="20"/>
              </w:rPr>
            </w:pPr>
            <w:r w:rsidRPr="00F201F0">
              <w:rPr>
                <w:rFonts w:ascii="TisaOT" w:hAnsi="TisaOT" w:cs="TisaOT"/>
                <w:color w:val="000000"/>
                <w:sz w:val="20"/>
                <w:szCs w:val="20"/>
              </w:rPr>
              <w:t>CDBG, ESG, HOPWA; CRF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AA95" w14:textId="77777777" w:rsidR="00F201F0" w:rsidRPr="00F201F0" w:rsidRDefault="00F201F0" w:rsidP="00F201F0">
            <w:pPr>
              <w:rPr>
                <w:rFonts w:ascii="TisaOT" w:hAnsi="TisaOT" w:cs="TisaOT"/>
                <w:color w:val="000000"/>
                <w:sz w:val="20"/>
                <w:szCs w:val="20"/>
              </w:rPr>
            </w:pPr>
            <w:r w:rsidRPr="00F201F0">
              <w:rPr>
                <w:rFonts w:ascii="TisaOT" w:hAnsi="TisaOT" w:cs="TisaOT"/>
                <w:color w:val="000000"/>
                <w:sz w:val="20"/>
                <w:szCs w:val="20"/>
              </w:rPr>
              <w:t>Assessing specific needs and allocations for rental assistance, shelter operations, and prevention; $15 million from the Coronavirus Relief Fund is allocated for rent assistance.**</w:t>
            </w:r>
          </w:p>
        </w:tc>
      </w:tr>
      <w:tr w:rsidR="00F201F0" w:rsidRPr="00F201F0" w14:paraId="603C7826" w14:textId="77777777" w:rsidTr="00F201F0">
        <w:trPr>
          <w:trHeight w:val="301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A63F" w14:textId="77777777" w:rsidR="00F201F0" w:rsidRPr="00F201F0" w:rsidRDefault="00F201F0" w:rsidP="00F201F0">
            <w:pPr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Kokomo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9B93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$486,873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F2454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$0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80C2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$0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6EEF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$0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DCC93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0"/>
                <w:szCs w:val="20"/>
              </w:rPr>
            </w:pPr>
            <w:r w:rsidRPr="00F201F0">
              <w:rPr>
                <w:rFonts w:ascii="TisaOT" w:hAnsi="TisaOT" w:cs="TisaO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DFB9" w14:textId="77777777" w:rsidR="00F201F0" w:rsidRPr="00F201F0" w:rsidRDefault="00F201F0" w:rsidP="00F201F0">
            <w:pPr>
              <w:rPr>
                <w:rFonts w:ascii="TisaOT" w:hAnsi="TisaOT" w:cs="TisaOT"/>
                <w:color w:val="000000"/>
                <w:sz w:val="20"/>
                <w:szCs w:val="20"/>
              </w:rPr>
            </w:pPr>
            <w:r w:rsidRPr="00F201F0">
              <w:rPr>
                <w:rFonts w:ascii="TisaOT" w:hAnsi="TisaOT" w:cs="TisaOT"/>
                <w:color w:val="000000"/>
                <w:sz w:val="20"/>
                <w:szCs w:val="20"/>
              </w:rPr>
              <w:t>Will not be using CDBG funds for rent assistance</w:t>
            </w:r>
          </w:p>
        </w:tc>
      </w:tr>
      <w:tr w:rsidR="00F201F0" w:rsidRPr="00F201F0" w14:paraId="3EC1F002" w14:textId="77777777" w:rsidTr="00F201F0">
        <w:trPr>
          <w:trHeight w:val="301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2FA3" w14:textId="77777777" w:rsidR="00F201F0" w:rsidRPr="00F201F0" w:rsidRDefault="00F201F0" w:rsidP="00F201F0">
            <w:pPr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Lafayette*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2DEB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$394,084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88EF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$0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F658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$0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4651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$0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25BAD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0"/>
                <w:szCs w:val="20"/>
              </w:rPr>
            </w:pPr>
            <w:r w:rsidRPr="00F201F0">
              <w:rPr>
                <w:rFonts w:ascii="TisaOT" w:hAnsi="TisaOT" w:cs="TisaO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FC46" w14:textId="77777777" w:rsidR="00F201F0" w:rsidRPr="00F201F0" w:rsidRDefault="00F201F0" w:rsidP="00F201F0">
            <w:pPr>
              <w:rPr>
                <w:rFonts w:ascii="TisaOT" w:hAnsi="TisaOT" w:cs="TisaOT"/>
                <w:color w:val="000000"/>
                <w:sz w:val="20"/>
                <w:szCs w:val="20"/>
              </w:rPr>
            </w:pPr>
            <w:r w:rsidRPr="00F201F0">
              <w:rPr>
                <w:rFonts w:ascii="TisaOT" w:hAnsi="TisaOT" w:cs="TisaOT"/>
                <w:color w:val="000000"/>
                <w:sz w:val="20"/>
                <w:szCs w:val="20"/>
              </w:rPr>
              <w:t>Did not respond.</w:t>
            </w:r>
          </w:p>
        </w:tc>
      </w:tr>
      <w:tr w:rsidR="00F201F0" w:rsidRPr="00F201F0" w14:paraId="096D6453" w14:textId="77777777" w:rsidTr="00F201F0">
        <w:trPr>
          <w:trHeight w:val="850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49C1" w14:textId="77777777" w:rsidR="00F201F0" w:rsidRPr="00F201F0" w:rsidRDefault="00F201F0" w:rsidP="00F201F0">
            <w:pPr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La Porte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4076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$275,815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D66B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$0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A1C2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$0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75FA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$0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E43E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0"/>
                <w:szCs w:val="20"/>
              </w:rPr>
            </w:pPr>
            <w:r w:rsidRPr="00F201F0">
              <w:rPr>
                <w:rFonts w:ascii="TisaOT" w:hAnsi="TisaOT" w:cs="TisaOT"/>
                <w:color w:val="000000"/>
                <w:sz w:val="20"/>
                <w:szCs w:val="20"/>
              </w:rPr>
              <w:t>CDBG-CV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F211" w14:textId="77777777" w:rsidR="00F201F0" w:rsidRPr="00F201F0" w:rsidRDefault="00F201F0" w:rsidP="00F201F0">
            <w:pPr>
              <w:rPr>
                <w:rFonts w:ascii="TisaOT" w:hAnsi="TisaOT" w:cs="TisaOT"/>
                <w:color w:val="000000"/>
                <w:sz w:val="20"/>
                <w:szCs w:val="20"/>
              </w:rPr>
            </w:pPr>
            <w:r w:rsidRPr="00F201F0">
              <w:rPr>
                <w:rFonts w:ascii="TisaOT" w:hAnsi="TisaOT" w:cs="TisaOT"/>
                <w:color w:val="000000"/>
                <w:sz w:val="20"/>
                <w:szCs w:val="20"/>
              </w:rPr>
              <w:t>Allocating $197,129 of CDBG-CV funding under public services for rental assistance, utility bill assistance, and prescription assistance to Catholic Charities and to the Center Township Trustee.</w:t>
            </w:r>
          </w:p>
        </w:tc>
      </w:tr>
      <w:tr w:rsidR="00F201F0" w:rsidRPr="00F201F0" w14:paraId="35A99185" w14:textId="77777777" w:rsidTr="00F201F0">
        <w:trPr>
          <w:trHeight w:val="602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7814" w14:textId="77777777" w:rsidR="00F201F0" w:rsidRPr="00F201F0" w:rsidRDefault="00F201F0" w:rsidP="00F201F0">
            <w:pPr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Michigan City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6C62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$394,911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D2A2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$0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3B0A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$0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AC39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$0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EC62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0"/>
                <w:szCs w:val="20"/>
              </w:rPr>
            </w:pPr>
            <w:r w:rsidRPr="00F201F0">
              <w:rPr>
                <w:rFonts w:ascii="TisaOT" w:hAnsi="TisaOT" w:cs="TisaO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5818" w14:textId="77777777" w:rsidR="00F201F0" w:rsidRPr="00F201F0" w:rsidRDefault="00F201F0" w:rsidP="00F201F0">
            <w:pPr>
              <w:rPr>
                <w:rFonts w:ascii="TisaOT" w:hAnsi="TisaOT" w:cs="TisaOT"/>
                <w:color w:val="000000"/>
                <w:sz w:val="20"/>
                <w:szCs w:val="20"/>
              </w:rPr>
            </w:pPr>
            <w:r w:rsidRPr="00F201F0">
              <w:rPr>
                <w:rFonts w:ascii="TisaOT" w:hAnsi="TisaOT" w:cs="TisaOT"/>
                <w:color w:val="000000"/>
                <w:sz w:val="20"/>
                <w:szCs w:val="20"/>
              </w:rPr>
              <w:t>Will be using unknown designated funds to expand current rental assistance program once received</w:t>
            </w:r>
          </w:p>
        </w:tc>
      </w:tr>
      <w:tr w:rsidR="00F201F0" w:rsidRPr="00F201F0" w14:paraId="43F8E427" w14:textId="77777777" w:rsidTr="00F201F0">
        <w:trPr>
          <w:trHeight w:val="301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7E72" w14:textId="77777777" w:rsidR="00F201F0" w:rsidRPr="00F201F0" w:rsidRDefault="00F201F0" w:rsidP="00F201F0">
            <w:pPr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Mishawaka*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C12A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$282,298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25BB8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$0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9E87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$0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5E1C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$0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3370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0"/>
                <w:szCs w:val="20"/>
              </w:rPr>
            </w:pPr>
            <w:r w:rsidRPr="00F201F0">
              <w:rPr>
                <w:rFonts w:ascii="TisaOT" w:hAnsi="TisaOT" w:cs="TisaO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0C4E" w14:textId="77777777" w:rsidR="00F201F0" w:rsidRPr="00F201F0" w:rsidRDefault="00F201F0" w:rsidP="00F201F0">
            <w:pPr>
              <w:rPr>
                <w:rFonts w:ascii="TisaOT" w:hAnsi="TisaOT" w:cs="TisaOT"/>
                <w:color w:val="000000"/>
                <w:sz w:val="20"/>
                <w:szCs w:val="20"/>
              </w:rPr>
            </w:pPr>
            <w:r w:rsidRPr="00F201F0">
              <w:rPr>
                <w:rFonts w:ascii="TisaOT" w:hAnsi="TisaOT" w:cs="TisaOT"/>
                <w:color w:val="000000"/>
                <w:sz w:val="20"/>
                <w:szCs w:val="20"/>
              </w:rPr>
              <w:t>Did not respond.</w:t>
            </w:r>
          </w:p>
        </w:tc>
      </w:tr>
      <w:tr w:rsidR="00F201F0" w:rsidRPr="00F201F0" w14:paraId="1D4319B4" w14:textId="77777777" w:rsidTr="00F201F0">
        <w:trPr>
          <w:trHeight w:val="301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8183" w14:textId="77777777" w:rsidR="00F201F0" w:rsidRPr="00F201F0" w:rsidRDefault="00F201F0" w:rsidP="00F201F0">
            <w:pPr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Muncie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5428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$749,824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6D02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$0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9D8D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$0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EA10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$0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385C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0"/>
                <w:szCs w:val="20"/>
              </w:rPr>
            </w:pPr>
            <w:r w:rsidRPr="00F201F0">
              <w:rPr>
                <w:rFonts w:ascii="TisaOT" w:hAnsi="TisaOT" w:cs="TisaOT"/>
                <w:color w:val="000000"/>
                <w:sz w:val="20"/>
                <w:szCs w:val="20"/>
              </w:rPr>
              <w:t>CDBG; HOME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0561" w14:textId="77777777" w:rsidR="00F201F0" w:rsidRPr="00F201F0" w:rsidRDefault="00F201F0" w:rsidP="00F201F0">
            <w:pPr>
              <w:rPr>
                <w:rFonts w:ascii="TisaOT" w:hAnsi="TisaOT" w:cs="TisaOT"/>
                <w:color w:val="000000"/>
                <w:sz w:val="20"/>
                <w:szCs w:val="20"/>
              </w:rPr>
            </w:pPr>
            <w:r w:rsidRPr="00F201F0">
              <w:rPr>
                <w:rFonts w:ascii="TisaOT" w:hAnsi="TisaOT" w:cs="TisaOT"/>
                <w:color w:val="000000"/>
                <w:sz w:val="20"/>
                <w:szCs w:val="20"/>
              </w:rPr>
              <w:t> </w:t>
            </w:r>
          </w:p>
        </w:tc>
      </w:tr>
      <w:tr w:rsidR="00F201F0" w:rsidRPr="00F201F0" w14:paraId="10776C2C" w14:textId="77777777" w:rsidTr="00F201F0">
        <w:trPr>
          <w:trHeight w:val="301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E276" w14:textId="77777777" w:rsidR="00F201F0" w:rsidRPr="00F201F0" w:rsidRDefault="00F201F0" w:rsidP="00F201F0">
            <w:pPr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New Albany*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9B11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$397,196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989E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$0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BD23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$0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DC74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$0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27D4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0"/>
                <w:szCs w:val="20"/>
              </w:rPr>
            </w:pPr>
            <w:r w:rsidRPr="00F201F0">
              <w:rPr>
                <w:rFonts w:ascii="TisaOT" w:hAnsi="TisaOT" w:cs="TisaO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DA1E" w14:textId="77777777" w:rsidR="00F201F0" w:rsidRPr="00F201F0" w:rsidRDefault="00F201F0" w:rsidP="00F201F0">
            <w:pPr>
              <w:rPr>
                <w:rFonts w:ascii="TisaOT" w:hAnsi="TisaOT" w:cs="TisaOT"/>
                <w:color w:val="000000"/>
                <w:sz w:val="20"/>
                <w:szCs w:val="20"/>
              </w:rPr>
            </w:pPr>
            <w:r w:rsidRPr="00F201F0">
              <w:rPr>
                <w:rFonts w:ascii="TisaOT" w:hAnsi="TisaOT" w:cs="TisaOT"/>
                <w:color w:val="000000"/>
                <w:sz w:val="20"/>
                <w:szCs w:val="20"/>
              </w:rPr>
              <w:t>Did not respond.</w:t>
            </w:r>
          </w:p>
        </w:tc>
      </w:tr>
      <w:tr w:rsidR="00F201F0" w:rsidRPr="00F201F0" w14:paraId="10292DEE" w14:textId="77777777" w:rsidTr="00F201F0">
        <w:trPr>
          <w:trHeight w:val="567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7B19" w14:textId="77777777" w:rsidR="00F201F0" w:rsidRPr="00F201F0" w:rsidRDefault="00F201F0" w:rsidP="00F201F0">
            <w:pPr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South Bend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40E0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$1,491,174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C691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$759,783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5F74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$787,585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9026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$0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F12F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0"/>
                <w:szCs w:val="20"/>
              </w:rPr>
            </w:pPr>
            <w:r w:rsidRPr="00F201F0">
              <w:rPr>
                <w:rFonts w:ascii="TisaOT" w:hAnsi="TisaOT" w:cs="TisaOT"/>
                <w:color w:val="000000"/>
                <w:sz w:val="20"/>
                <w:szCs w:val="20"/>
              </w:rPr>
              <w:t>CDBG; ESG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8579" w14:textId="77777777" w:rsidR="00F201F0" w:rsidRPr="00F201F0" w:rsidRDefault="00F201F0" w:rsidP="00F201F0">
            <w:pPr>
              <w:rPr>
                <w:rFonts w:ascii="TisaOT" w:hAnsi="TisaOT" w:cs="TisaOT"/>
                <w:color w:val="000000"/>
                <w:sz w:val="20"/>
                <w:szCs w:val="20"/>
              </w:rPr>
            </w:pPr>
            <w:r w:rsidRPr="00F201F0">
              <w:rPr>
                <w:rFonts w:ascii="TisaOT" w:hAnsi="TisaOT" w:cs="TisaOT"/>
                <w:color w:val="000000"/>
                <w:sz w:val="20"/>
                <w:szCs w:val="20"/>
              </w:rPr>
              <w:t>$328,000 CDBG designated for rent/utility assistance; $350,000 ESG-CARES for emergency shelter/rent</w:t>
            </w:r>
          </w:p>
        </w:tc>
      </w:tr>
      <w:tr w:rsidR="00F201F0" w:rsidRPr="00F201F0" w14:paraId="2586AC38" w14:textId="77777777" w:rsidTr="00F201F0">
        <w:trPr>
          <w:trHeight w:val="301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B511" w14:textId="77777777" w:rsidR="00F201F0" w:rsidRPr="00F201F0" w:rsidRDefault="00F201F0" w:rsidP="00F201F0">
            <w:pPr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Terre Haute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0A17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$902,204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080B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$0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7937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$0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307D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$0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E867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0"/>
                <w:szCs w:val="20"/>
              </w:rPr>
            </w:pPr>
            <w:r w:rsidRPr="00F201F0">
              <w:rPr>
                <w:rFonts w:ascii="TisaOT" w:hAnsi="TisaOT" w:cs="TisaO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8BB7" w14:textId="77777777" w:rsidR="00F201F0" w:rsidRPr="00F201F0" w:rsidRDefault="00F201F0" w:rsidP="00F201F0">
            <w:pPr>
              <w:rPr>
                <w:rFonts w:ascii="TisaOT" w:hAnsi="TisaOT" w:cs="TisaOT"/>
                <w:color w:val="000000"/>
                <w:sz w:val="20"/>
                <w:szCs w:val="20"/>
              </w:rPr>
            </w:pPr>
            <w:r w:rsidRPr="00F201F0">
              <w:rPr>
                <w:rFonts w:ascii="TisaOT" w:hAnsi="TisaOT" w:cs="TisaOT"/>
                <w:color w:val="000000"/>
                <w:sz w:val="20"/>
                <w:szCs w:val="20"/>
              </w:rPr>
              <w:t>Will not be using funds for tenant based rental assistance</w:t>
            </w:r>
          </w:p>
        </w:tc>
      </w:tr>
      <w:tr w:rsidR="00F201F0" w:rsidRPr="00F201F0" w14:paraId="643B56B8" w14:textId="77777777" w:rsidTr="00F201F0">
        <w:trPr>
          <w:trHeight w:val="602"/>
          <w:jc w:val="center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B7C9" w14:textId="77777777" w:rsidR="00F201F0" w:rsidRPr="00F201F0" w:rsidRDefault="00F201F0" w:rsidP="00F201F0">
            <w:pPr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West Lafayette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72E2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$262,562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3247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$0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59007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$0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4C43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2"/>
                <w:szCs w:val="22"/>
              </w:rPr>
            </w:pPr>
            <w:r w:rsidRPr="00F201F0">
              <w:rPr>
                <w:rFonts w:ascii="TisaOT" w:hAnsi="TisaOT" w:cs="TisaOT"/>
                <w:color w:val="000000"/>
                <w:sz w:val="22"/>
                <w:szCs w:val="22"/>
              </w:rPr>
              <w:t>$0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7983" w14:textId="77777777" w:rsidR="00F201F0" w:rsidRPr="00F201F0" w:rsidRDefault="00F201F0" w:rsidP="00F201F0">
            <w:pPr>
              <w:jc w:val="right"/>
              <w:rPr>
                <w:rFonts w:ascii="TisaOT" w:hAnsi="TisaOT" w:cs="TisaOT"/>
                <w:color w:val="000000"/>
                <w:sz w:val="20"/>
                <w:szCs w:val="20"/>
              </w:rPr>
            </w:pPr>
            <w:r w:rsidRPr="00F201F0">
              <w:rPr>
                <w:rFonts w:ascii="TisaOT" w:hAnsi="TisaOT" w:cs="TisaO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61E5" w14:textId="77777777" w:rsidR="00F201F0" w:rsidRPr="00F201F0" w:rsidRDefault="00F201F0" w:rsidP="00F201F0">
            <w:pPr>
              <w:rPr>
                <w:rFonts w:ascii="TisaOT" w:hAnsi="TisaOT" w:cs="TisaOT"/>
                <w:color w:val="000000"/>
                <w:sz w:val="20"/>
                <w:szCs w:val="20"/>
              </w:rPr>
            </w:pPr>
            <w:r w:rsidRPr="00F201F0">
              <w:rPr>
                <w:rFonts w:ascii="TisaOT" w:hAnsi="TisaOT" w:cs="TisaOT"/>
                <w:color w:val="000000"/>
                <w:sz w:val="20"/>
                <w:szCs w:val="20"/>
              </w:rPr>
              <w:t>Will not be using CDBG funds for rent assistance</w:t>
            </w:r>
          </w:p>
        </w:tc>
      </w:tr>
    </w:tbl>
    <w:p w14:paraId="0167E997" w14:textId="77777777" w:rsidR="00F201F0" w:rsidRPr="002F2E87" w:rsidRDefault="00F201F0">
      <w:pPr>
        <w:rPr>
          <w:rFonts w:ascii="TisaOT" w:hAnsi="TisaOT" w:cs="TisaOT"/>
        </w:rPr>
      </w:pPr>
    </w:p>
    <w:p w14:paraId="153907AD" w14:textId="144285A2" w:rsidR="00F201F0" w:rsidRPr="009C422A" w:rsidRDefault="007666DE">
      <w:pPr>
        <w:rPr>
          <w:rFonts w:ascii="TisaOT" w:hAnsi="TisaOT" w:cs="TisaOT"/>
          <w:sz w:val="20"/>
          <w:szCs w:val="20"/>
        </w:rPr>
      </w:pPr>
      <w:r w:rsidRPr="006C3FF2">
        <w:rPr>
          <w:rFonts w:ascii="TisaOT" w:hAnsi="TisaOT" w:cs="TisaOT"/>
          <w:sz w:val="20"/>
          <w:szCs w:val="20"/>
        </w:rPr>
        <w:t>*</w:t>
      </w:r>
      <w:r w:rsidR="00AB3B18" w:rsidRPr="006C3FF2">
        <w:rPr>
          <w:rFonts w:ascii="TisaOT" w:hAnsi="TisaOT" w:cs="TisaOT"/>
          <w:sz w:val="20"/>
          <w:szCs w:val="20"/>
        </w:rPr>
        <w:t>Did not respond to emails and</w:t>
      </w:r>
      <w:r w:rsidRPr="006C3FF2">
        <w:rPr>
          <w:rFonts w:ascii="TisaOT" w:hAnsi="TisaOT" w:cs="TisaOT"/>
          <w:sz w:val="20"/>
          <w:szCs w:val="20"/>
        </w:rPr>
        <w:t xml:space="preserve">/or </w:t>
      </w:r>
      <w:r w:rsidR="00AB3B18" w:rsidRPr="006C3FF2">
        <w:rPr>
          <w:rFonts w:ascii="TisaOT" w:hAnsi="TisaOT" w:cs="TisaOT"/>
          <w:sz w:val="20"/>
          <w:szCs w:val="20"/>
        </w:rPr>
        <w:t>calls by June 16</w:t>
      </w:r>
      <w:r w:rsidRPr="006C3FF2">
        <w:rPr>
          <w:rFonts w:ascii="TisaOT" w:hAnsi="TisaOT" w:cs="TisaOT"/>
          <w:sz w:val="20"/>
          <w:szCs w:val="20"/>
        </w:rPr>
        <w:t>, 2020</w:t>
      </w:r>
      <w:r w:rsidR="00AB3B18" w:rsidRPr="006C3FF2">
        <w:rPr>
          <w:rFonts w:ascii="TisaOT" w:hAnsi="TisaOT" w:cs="TisaOT"/>
          <w:sz w:val="20"/>
          <w:szCs w:val="20"/>
        </w:rPr>
        <w:t>.</w:t>
      </w:r>
    </w:p>
    <w:p w14:paraId="10E08455" w14:textId="10A7E680" w:rsidR="002F2E87" w:rsidRDefault="00F4352E">
      <w:pPr>
        <w:rPr>
          <w:rFonts w:ascii="TisaOT" w:hAnsi="TisaOT" w:cs="TisaOT"/>
          <w:sz w:val="20"/>
          <w:szCs w:val="20"/>
        </w:rPr>
      </w:pPr>
      <w:r w:rsidRPr="00F4352E">
        <w:rPr>
          <w:rFonts w:ascii="TisaOT" w:hAnsi="TisaOT" w:cs="TisaOT"/>
          <w:color w:val="000000" w:themeColor="text1"/>
          <w:sz w:val="20"/>
          <w:szCs w:val="20"/>
        </w:rPr>
        <w:t>**Indianapolis is eligible for the Coronavirus Relief Fund as a unit of local government with a population th</w:t>
      </w:r>
      <w:r>
        <w:rPr>
          <w:rFonts w:ascii="TisaOT" w:hAnsi="TisaOT" w:cs="TisaOT"/>
          <w:sz w:val="20"/>
          <w:szCs w:val="20"/>
        </w:rPr>
        <w:t>at exceeds 500,000 (Source: “</w:t>
      </w:r>
      <w:hyperlink r:id="rId6" w:history="1">
        <w:r w:rsidRPr="00DF58BD">
          <w:rPr>
            <w:rStyle w:val="Hyperlink"/>
            <w:rFonts w:ascii="TisaOT" w:hAnsi="TisaOT" w:cs="TisaOT"/>
            <w:sz w:val="20"/>
            <w:szCs w:val="20"/>
          </w:rPr>
          <w:t>The CARES Act Provides Assistance for State, Local, and Tribal Governments</w:t>
        </w:r>
      </w:hyperlink>
      <w:r>
        <w:rPr>
          <w:rFonts w:ascii="TisaOT" w:hAnsi="TisaOT" w:cs="TisaOT"/>
          <w:sz w:val="20"/>
          <w:szCs w:val="20"/>
        </w:rPr>
        <w:t>”, U.S. Department of Treasury).</w:t>
      </w:r>
    </w:p>
    <w:p w14:paraId="36B1368A" w14:textId="1B9DD426" w:rsidR="007401A4" w:rsidRPr="003F332F" w:rsidRDefault="007401A4">
      <w:pPr>
        <w:rPr>
          <w:rFonts w:ascii="TisaOT" w:hAnsi="TisaOT" w:cs="TisaOT"/>
          <w:sz w:val="20"/>
          <w:szCs w:val="20"/>
        </w:rPr>
      </w:pPr>
      <w:r w:rsidRPr="006C3FF2">
        <w:rPr>
          <w:rFonts w:ascii="TisaOT" w:hAnsi="TisaOT" w:cs="TisaOT"/>
          <w:sz w:val="20"/>
          <w:szCs w:val="20"/>
        </w:rPr>
        <w:t>Source: “</w:t>
      </w:r>
      <w:hyperlink r:id="rId7" w:history="1">
        <w:r w:rsidRPr="00DF58BD">
          <w:rPr>
            <w:rStyle w:val="Hyperlink"/>
            <w:rFonts w:ascii="TisaOT" w:hAnsi="TisaOT" w:cs="TisaOT"/>
            <w:sz w:val="20"/>
            <w:szCs w:val="20"/>
          </w:rPr>
          <w:t>CPD PROGRAM FORMULA ALLOCATIONS AND CARES ACT SUPPLEMENTAL FUNDING FOR FY 2020</w:t>
        </w:r>
      </w:hyperlink>
      <w:r w:rsidRPr="006C3FF2">
        <w:rPr>
          <w:rFonts w:ascii="TisaOT" w:hAnsi="TisaOT" w:cs="TisaOT"/>
          <w:sz w:val="20"/>
          <w:szCs w:val="20"/>
        </w:rPr>
        <w:t>”, U.S. Department of Housing and Urban Development and Survey of Indiana entitlement cities</w:t>
      </w:r>
    </w:p>
    <w:sectPr w:rsidR="007401A4" w:rsidRPr="003F332F" w:rsidSect="009C42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saOT">
    <w:panose1 w:val="020B0604020202020204"/>
    <w:charset w:val="4D"/>
    <w:family w:val="auto"/>
    <w:notTrueType/>
    <w:pitch w:val="variable"/>
    <w:sig w:usb0="800000EF" w:usb1="4000205B" w:usb2="00000008" w:usb3="00000000" w:csb0="00000001" w:csb1="00000000"/>
  </w:font>
  <w:font w:name="Tisa OT">
    <w:panose1 w:val="02010504030101020102"/>
    <w:charset w:val="4D"/>
    <w:family w:val="auto"/>
    <w:notTrueType/>
    <w:pitch w:val="variable"/>
    <w:sig w:usb0="800000EF" w:usb1="4000205B" w:usb2="00000008" w:usb3="00000000" w:csb0="00000001" w:csb1="00000000"/>
  </w:font>
  <w:font w:name="TisaOT-Bold">
    <w:altName w:val="TisaOT"/>
    <w:panose1 w:val="02010804040101020102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8A2"/>
    <w:rsid w:val="00002A2A"/>
    <w:rsid w:val="0002047A"/>
    <w:rsid w:val="00047ACB"/>
    <w:rsid w:val="0005233A"/>
    <w:rsid w:val="00066093"/>
    <w:rsid w:val="000B2DD3"/>
    <w:rsid w:val="000C7B31"/>
    <w:rsid w:val="000D60E3"/>
    <w:rsid w:val="000E7285"/>
    <w:rsid w:val="000E7923"/>
    <w:rsid w:val="00122A62"/>
    <w:rsid w:val="0013450D"/>
    <w:rsid w:val="00135E9B"/>
    <w:rsid w:val="00143AE9"/>
    <w:rsid w:val="00162C7E"/>
    <w:rsid w:val="001745EC"/>
    <w:rsid w:val="001B0EAF"/>
    <w:rsid w:val="001B50A8"/>
    <w:rsid w:val="001E34E1"/>
    <w:rsid w:val="001F1733"/>
    <w:rsid w:val="00205309"/>
    <w:rsid w:val="002C11EF"/>
    <w:rsid w:val="002C233F"/>
    <w:rsid w:val="002E6F3D"/>
    <w:rsid w:val="002F2E87"/>
    <w:rsid w:val="002F369C"/>
    <w:rsid w:val="00310F1F"/>
    <w:rsid w:val="00311EDD"/>
    <w:rsid w:val="003860F1"/>
    <w:rsid w:val="003A36F0"/>
    <w:rsid w:val="003A5C7B"/>
    <w:rsid w:val="003E4A30"/>
    <w:rsid w:val="003F16B5"/>
    <w:rsid w:val="003F332F"/>
    <w:rsid w:val="00412846"/>
    <w:rsid w:val="0047105B"/>
    <w:rsid w:val="004913EB"/>
    <w:rsid w:val="004A5386"/>
    <w:rsid w:val="004E71BD"/>
    <w:rsid w:val="004F5C22"/>
    <w:rsid w:val="00513FD4"/>
    <w:rsid w:val="0053106A"/>
    <w:rsid w:val="005477C6"/>
    <w:rsid w:val="00582783"/>
    <w:rsid w:val="00590065"/>
    <w:rsid w:val="005D67A0"/>
    <w:rsid w:val="0060617F"/>
    <w:rsid w:val="00621060"/>
    <w:rsid w:val="00643707"/>
    <w:rsid w:val="0064563B"/>
    <w:rsid w:val="00663F30"/>
    <w:rsid w:val="0069321D"/>
    <w:rsid w:val="006B20D5"/>
    <w:rsid w:val="006B2B2F"/>
    <w:rsid w:val="006C006A"/>
    <w:rsid w:val="006C3FF2"/>
    <w:rsid w:val="006D6F24"/>
    <w:rsid w:val="00716F51"/>
    <w:rsid w:val="00727BC3"/>
    <w:rsid w:val="007401A4"/>
    <w:rsid w:val="0074409E"/>
    <w:rsid w:val="00755376"/>
    <w:rsid w:val="007666DE"/>
    <w:rsid w:val="00771B9F"/>
    <w:rsid w:val="0078583E"/>
    <w:rsid w:val="007B306D"/>
    <w:rsid w:val="00805B24"/>
    <w:rsid w:val="00860DF1"/>
    <w:rsid w:val="008742A9"/>
    <w:rsid w:val="00876433"/>
    <w:rsid w:val="0088139E"/>
    <w:rsid w:val="008A280C"/>
    <w:rsid w:val="008B1E66"/>
    <w:rsid w:val="008D149C"/>
    <w:rsid w:val="009072DF"/>
    <w:rsid w:val="009277F7"/>
    <w:rsid w:val="00952E30"/>
    <w:rsid w:val="009828A2"/>
    <w:rsid w:val="009A0432"/>
    <w:rsid w:val="009C422A"/>
    <w:rsid w:val="009C6468"/>
    <w:rsid w:val="009D03EE"/>
    <w:rsid w:val="009D285B"/>
    <w:rsid w:val="009D601B"/>
    <w:rsid w:val="009F2046"/>
    <w:rsid w:val="00A050BF"/>
    <w:rsid w:val="00A24E29"/>
    <w:rsid w:val="00A53C53"/>
    <w:rsid w:val="00A721F7"/>
    <w:rsid w:val="00A73404"/>
    <w:rsid w:val="00A77C3F"/>
    <w:rsid w:val="00A857BC"/>
    <w:rsid w:val="00A91009"/>
    <w:rsid w:val="00A97A2D"/>
    <w:rsid w:val="00AB3B18"/>
    <w:rsid w:val="00AE4720"/>
    <w:rsid w:val="00B345D0"/>
    <w:rsid w:val="00B612DE"/>
    <w:rsid w:val="00B83F1A"/>
    <w:rsid w:val="00B85887"/>
    <w:rsid w:val="00BB36D2"/>
    <w:rsid w:val="00BC0E16"/>
    <w:rsid w:val="00BC4B48"/>
    <w:rsid w:val="00BC7284"/>
    <w:rsid w:val="00BD7C55"/>
    <w:rsid w:val="00BF06C7"/>
    <w:rsid w:val="00BF53C7"/>
    <w:rsid w:val="00C050F8"/>
    <w:rsid w:val="00C346B0"/>
    <w:rsid w:val="00C403ED"/>
    <w:rsid w:val="00C6048D"/>
    <w:rsid w:val="00C754E0"/>
    <w:rsid w:val="00C96995"/>
    <w:rsid w:val="00CC3585"/>
    <w:rsid w:val="00CE1FB8"/>
    <w:rsid w:val="00CF0859"/>
    <w:rsid w:val="00D21B3D"/>
    <w:rsid w:val="00D357AF"/>
    <w:rsid w:val="00D4328E"/>
    <w:rsid w:val="00D53CAD"/>
    <w:rsid w:val="00D558FC"/>
    <w:rsid w:val="00D734F1"/>
    <w:rsid w:val="00DB1C72"/>
    <w:rsid w:val="00DD015D"/>
    <w:rsid w:val="00DE764F"/>
    <w:rsid w:val="00DF58BD"/>
    <w:rsid w:val="00E15D74"/>
    <w:rsid w:val="00E442B1"/>
    <w:rsid w:val="00E76D9E"/>
    <w:rsid w:val="00E8736D"/>
    <w:rsid w:val="00E951F8"/>
    <w:rsid w:val="00EA7218"/>
    <w:rsid w:val="00EB3FDF"/>
    <w:rsid w:val="00EC188B"/>
    <w:rsid w:val="00EE2908"/>
    <w:rsid w:val="00F201F0"/>
    <w:rsid w:val="00F4352E"/>
    <w:rsid w:val="00F51C01"/>
    <w:rsid w:val="00F8133B"/>
    <w:rsid w:val="00F92DD8"/>
    <w:rsid w:val="00F931B0"/>
    <w:rsid w:val="00F94F65"/>
    <w:rsid w:val="00FA7127"/>
    <w:rsid w:val="00FC3DBE"/>
    <w:rsid w:val="00FC69B6"/>
    <w:rsid w:val="00FD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5DD5F"/>
  <w15:chartTrackingRefBased/>
  <w15:docId w15:val="{03411B25-7E1F-1F40-A7E9-31CBA8B7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52E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35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085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085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352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8B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ud.gov/program_offices/comm_planning/budget/fy2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me.treasury.gov/policy-issues/cares/state-and-local-governments" TargetMode="External"/><Relationship Id="rId5" Type="http://schemas.openxmlformats.org/officeDocument/2006/relationships/hyperlink" Target="https://www.prosperityindiana.org/Policy-News/9008081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Wischmeier, Michaela Jane</dc:creator>
  <cp:keywords/>
  <dc:description/>
  <cp:lastModifiedBy>Wischmeier, Michaela Jane</cp:lastModifiedBy>
  <cp:revision>11</cp:revision>
  <dcterms:created xsi:type="dcterms:W3CDTF">2020-06-16T18:37:00Z</dcterms:created>
  <dcterms:modified xsi:type="dcterms:W3CDTF">2020-06-16T20:35:00Z</dcterms:modified>
</cp:coreProperties>
</file>